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78DFEDD"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7368C4" w:rsidRPr="007368C4">
        <w:rPr>
          <w:bCs/>
          <w:noProof w:val="0"/>
          <w:sz w:val="24"/>
          <w:szCs w:val="24"/>
        </w:rPr>
        <w:t>R2-1900610</w:t>
      </w:r>
    </w:p>
    <w:p w14:paraId="231362B2" w14:textId="09855B8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FA59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B30">
        <w:rPr>
          <w:rFonts w:cs="Arial"/>
          <w:b/>
          <w:bCs/>
          <w:sz w:val="24"/>
          <w:lang w:eastAsia="ja-JP"/>
        </w:rPr>
        <w:t>11.9</w:t>
      </w:r>
      <w:r w:rsidR="00AB79C6">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A8658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1F60">
        <w:rPr>
          <w:rFonts w:ascii="Arial" w:hAnsi="Arial" w:cs="Arial"/>
          <w:b/>
          <w:bCs/>
          <w:sz w:val="24"/>
        </w:rPr>
        <w:t xml:space="preserve">Enhanced Mobility Robustness </w:t>
      </w:r>
      <w:r w:rsidR="00440D46">
        <w:rPr>
          <w:rFonts w:ascii="Arial" w:hAnsi="Arial" w:cs="Arial"/>
          <w:b/>
          <w:bCs/>
          <w:sz w:val="24"/>
        </w:rPr>
        <w:t>in</w:t>
      </w:r>
      <w:r w:rsidR="00FA1F60">
        <w:rPr>
          <w:rFonts w:ascii="Arial" w:hAnsi="Arial" w:cs="Arial"/>
          <w:b/>
          <w:bCs/>
          <w:sz w:val="24"/>
        </w:rPr>
        <w:t xml:space="preserve"> NR</w:t>
      </w:r>
    </w:p>
    <w:p w14:paraId="3AC3A0B1" w14:textId="5312427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58DC" w:rsidRPr="00F458DC">
        <w:rPr>
          <w:rFonts w:ascii="Arial" w:hAnsi="Arial" w:cs="Arial"/>
          <w:b/>
          <w:bCs/>
          <w:sz w:val="24"/>
        </w:rPr>
        <w:t>NR_Mob_enh</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458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C1304C1" w14:textId="7EC29E11" w:rsidR="00F458DC" w:rsidRDefault="00F458DC" w:rsidP="00F458DC">
      <w:r>
        <w:t>RAN#80 has agreed the “</w:t>
      </w:r>
      <w:r w:rsidRPr="00C94F20">
        <w:t>NR mobility enhancements</w:t>
      </w:r>
      <w:r>
        <w:t xml:space="preserve">” </w:t>
      </w:r>
      <w:r w:rsidR="00021DD9">
        <w:fldChar w:fldCharType="begin"/>
      </w:r>
      <w:r w:rsidR="00021DD9">
        <w:instrText xml:space="preserve"> REF _Ref535824419 \r \h </w:instrText>
      </w:r>
      <w:r w:rsidR="00021DD9">
        <w:fldChar w:fldCharType="separate"/>
      </w:r>
      <w:r w:rsidR="00021DD9">
        <w:t>[1]</w:t>
      </w:r>
      <w:r w:rsidR="00021DD9">
        <w:fldChar w:fldCharType="end"/>
      </w:r>
      <w:r w:rsidR="00021DD9">
        <w:t xml:space="preserve"> </w:t>
      </w:r>
      <w:r>
        <w:t>with the following objectives:</w:t>
      </w:r>
    </w:p>
    <w:tbl>
      <w:tblPr>
        <w:tblStyle w:val="TableGrid"/>
        <w:tblW w:w="0" w:type="auto"/>
        <w:tblLook w:val="04A0" w:firstRow="1" w:lastRow="0" w:firstColumn="1" w:lastColumn="0" w:noHBand="0" w:noVBand="1"/>
      </w:tblPr>
      <w:tblGrid>
        <w:gridCol w:w="9631"/>
      </w:tblGrid>
      <w:tr w:rsidR="00F458DC" w14:paraId="2AB447FD" w14:textId="77777777" w:rsidTr="00B5212A">
        <w:tc>
          <w:tcPr>
            <w:tcW w:w="9631" w:type="dxa"/>
          </w:tcPr>
          <w:p w14:paraId="6C8F57CD" w14:textId="77777777" w:rsidR="00F458DC" w:rsidRDefault="00F458DC" w:rsidP="00F458DC">
            <w:pPr>
              <w:pStyle w:val="B1"/>
              <w:ind w:left="0" w:firstLine="0"/>
              <w:rPr>
                <w:lang w:eastAsia="ja-JP"/>
              </w:rPr>
            </w:pPr>
            <w:r>
              <w:rPr>
                <w:lang w:eastAsia="ja-JP"/>
              </w:rPr>
              <w:t>The following objective are considered in this WI:</w:t>
            </w:r>
          </w:p>
          <w:p w14:paraId="52283374" w14:textId="77777777" w:rsidR="00F458DC" w:rsidRPr="00752959" w:rsidRDefault="00F458DC" w:rsidP="00F458DC">
            <w:pPr>
              <w:pStyle w:val="B1"/>
              <w:numPr>
                <w:ilvl w:val="0"/>
                <w:numId w:val="6"/>
              </w:numPr>
              <w:overflowPunct w:val="0"/>
              <w:autoSpaceDE w:val="0"/>
              <w:autoSpaceDN w:val="0"/>
              <w:adjustRightInd w:val="0"/>
              <w:textAlignment w:val="baseline"/>
              <w:rPr>
                <w:lang w:val="en-US" w:eastAsia="ja-JP"/>
              </w:rPr>
            </w:pPr>
            <w:r>
              <w:rPr>
                <w:lang w:val="en-US" w:eastAsia="ja-JP"/>
              </w:rPr>
              <w:t xml:space="preserve">To study solution(s) to reduce interruption time during HO/SCG change focusing on the following identified solutions but not limited. </w:t>
            </w:r>
          </w:p>
          <w:p w14:paraId="6B4ADD34" w14:textId="77777777" w:rsidR="00F458DC" w:rsidRPr="00752959" w:rsidRDefault="00F458DC" w:rsidP="00F458DC">
            <w:pPr>
              <w:pStyle w:val="B1"/>
              <w:numPr>
                <w:ilvl w:val="1"/>
                <w:numId w:val="6"/>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3214FB98" w14:textId="77777777" w:rsidR="00F458DC" w:rsidRDefault="00F458DC" w:rsidP="00F458DC">
            <w:pPr>
              <w:pStyle w:val="B1"/>
              <w:numPr>
                <w:ilvl w:val="1"/>
                <w:numId w:val="6"/>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6A04B8AE" w14:textId="77777777" w:rsidR="00F458DC" w:rsidRPr="00752959" w:rsidRDefault="00F458DC" w:rsidP="00F458DC">
            <w:pPr>
              <w:pStyle w:val="B1"/>
              <w:numPr>
                <w:ilvl w:val="1"/>
                <w:numId w:val="6"/>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522DC978" w14:textId="77777777" w:rsidR="00F458DC" w:rsidRPr="00021DD9" w:rsidRDefault="00F458DC" w:rsidP="00F458DC">
            <w:pPr>
              <w:pStyle w:val="B1"/>
              <w:numPr>
                <w:ilvl w:val="0"/>
                <w:numId w:val="6"/>
              </w:numPr>
              <w:overflowPunct w:val="0"/>
              <w:autoSpaceDE w:val="0"/>
              <w:autoSpaceDN w:val="0"/>
              <w:adjustRightInd w:val="0"/>
              <w:textAlignment w:val="baseline"/>
              <w:rPr>
                <w:highlight w:val="yellow"/>
                <w:lang w:val="en-US" w:eastAsia="ja-JP"/>
              </w:rPr>
            </w:pPr>
            <w:r w:rsidRPr="00021DD9">
              <w:rPr>
                <w:highlight w:val="yellow"/>
                <w:lang w:val="en-US" w:eastAsia="ja-JP"/>
              </w:rPr>
              <w:t xml:space="preserve">To study solution(s) to improve HO/SCG change reliability and robustness especially considering challenges in high/med frequency focusing on the following identified solutions but not limited. </w:t>
            </w:r>
          </w:p>
          <w:p w14:paraId="4196EDC4" w14:textId="77777777" w:rsidR="00F458DC" w:rsidRDefault="00F458DC" w:rsidP="00F458DC">
            <w:pPr>
              <w:pStyle w:val="B1"/>
              <w:numPr>
                <w:ilvl w:val="1"/>
                <w:numId w:val="6"/>
              </w:numPr>
              <w:overflowPunct w:val="0"/>
              <w:autoSpaceDE w:val="0"/>
              <w:autoSpaceDN w:val="0"/>
              <w:adjustRightInd w:val="0"/>
              <w:textAlignment w:val="baseline"/>
              <w:rPr>
                <w:lang w:eastAsia="ja-JP"/>
              </w:rPr>
            </w:pPr>
            <w:r w:rsidRPr="00021DD9">
              <w:rPr>
                <w:highlight w:val="yellow"/>
                <w:lang w:eastAsia="ja-JP"/>
              </w:rPr>
              <w:t>Conditional handover</w:t>
            </w:r>
            <w:r>
              <w:rPr>
                <w:lang w:eastAsia="ja-JP"/>
              </w:rPr>
              <w:t xml:space="preserve"> </w:t>
            </w:r>
          </w:p>
          <w:p w14:paraId="562C44A1" w14:textId="77777777" w:rsidR="00F458DC" w:rsidRDefault="00F458DC" w:rsidP="00F458DC">
            <w:pPr>
              <w:pStyle w:val="B1"/>
              <w:numPr>
                <w:ilvl w:val="1"/>
                <w:numId w:val="6"/>
              </w:numPr>
              <w:overflowPunct w:val="0"/>
              <w:autoSpaceDE w:val="0"/>
              <w:autoSpaceDN w:val="0"/>
              <w:adjustRightInd w:val="0"/>
              <w:textAlignment w:val="baseline"/>
              <w:rPr>
                <w:lang w:eastAsia="ja-JP"/>
              </w:rPr>
            </w:pPr>
            <w:r>
              <w:rPr>
                <w:lang w:eastAsia="ja-JP"/>
              </w:rPr>
              <w:t xml:space="preserve">Fast handover failure recovery </w:t>
            </w:r>
          </w:p>
          <w:p w14:paraId="7B51B8D0" w14:textId="77777777" w:rsidR="00F458DC" w:rsidRDefault="00F458DC" w:rsidP="00F458DC">
            <w:pPr>
              <w:pStyle w:val="B1"/>
              <w:rPr>
                <w:lang w:eastAsia="ja-JP"/>
              </w:rPr>
            </w:pPr>
            <w:r>
              <w:rPr>
                <w:lang w:eastAsia="ja-JP"/>
              </w:rPr>
              <w:t xml:space="preserve">RAN2 should avoid increasing signalling overhead. </w:t>
            </w:r>
          </w:p>
          <w:p w14:paraId="79D859AB" w14:textId="4D5D0B47" w:rsidR="00F458DC" w:rsidRDefault="00F458DC" w:rsidP="00F458DC">
            <w:pPr>
              <w:pStyle w:val="B1"/>
              <w:rPr>
                <w:rFonts w:cs="Calibri"/>
                <w:lang w:eastAsia="zh-CN"/>
              </w:rPr>
            </w:pPr>
            <w:r>
              <w:rPr>
                <w:rFonts w:cs="Calibri"/>
                <w:lang w:eastAsia="zh-CN"/>
              </w:rPr>
              <w:t xml:space="preserve">Note: LTE mobility enhancements should be used for baseline for fast handover failure recovery, Make-before-break and RACH-less handover. </w:t>
            </w:r>
          </w:p>
          <w:p w14:paraId="7C2A08DD" w14:textId="48C766F5" w:rsidR="00F458DC" w:rsidRPr="00F458DC" w:rsidRDefault="00F458DC" w:rsidP="00F458DC">
            <w:pPr>
              <w:pStyle w:val="B1"/>
              <w:numPr>
                <w:ilvl w:val="0"/>
                <w:numId w:val="6"/>
              </w:numPr>
              <w:overflowPunct w:val="0"/>
              <w:autoSpaceDE w:val="0"/>
              <w:autoSpaceDN w:val="0"/>
              <w:adjustRightInd w:val="0"/>
              <w:textAlignment w:val="baseline"/>
              <w:rPr>
                <w:lang w:val="en-US" w:eastAsia="ja-JP"/>
              </w:rPr>
            </w:pPr>
            <w:r>
              <w:rPr>
                <w:lang w:val="en-US" w:eastAsia="ja-JP"/>
              </w:rPr>
              <w:t>To specify the solutions and agreements agreed during the above study phase. [RAN2/RAN1/RAN3/RAN4]</w:t>
            </w:r>
          </w:p>
          <w:p w14:paraId="73A2FFE4" w14:textId="77777777" w:rsidR="00F458DC" w:rsidRDefault="00F458DC" w:rsidP="00F458DC">
            <w:pPr>
              <w:ind w:leftChars="200" w:left="400"/>
              <w:rPr>
                <w:lang w:val="en-US" w:eastAsia="zh-CN"/>
              </w:rPr>
            </w:pPr>
            <w:r>
              <w:rPr>
                <w:rFonts w:hint="eastAsia"/>
                <w:lang w:eastAsia="zh-CN"/>
              </w:rPr>
              <w:t xml:space="preserve">Note: The following </w:t>
            </w:r>
            <w:r>
              <w:rPr>
                <w:lang w:eastAsia="zh-CN"/>
              </w:rPr>
              <w:t>aspects</w:t>
            </w:r>
            <w:r>
              <w:rPr>
                <w:rFonts w:hint="eastAsia"/>
                <w:lang w:eastAsia="zh-CN"/>
              </w:rPr>
              <w:t xml:space="preserve"> </w:t>
            </w:r>
            <w:r>
              <w:rPr>
                <w:lang w:eastAsia="zh-CN"/>
              </w:rPr>
              <w:t xml:space="preserve">should be </w:t>
            </w:r>
            <w:r>
              <w:rPr>
                <w:rFonts w:hint="eastAsia"/>
                <w:lang w:eastAsia="zh-CN"/>
              </w:rPr>
              <w:t>considered in above objectives.</w:t>
            </w:r>
          </w:p>
          <w:p w14:paraId="4F3FC689" w14:textId="77777777" w:rsidR="00F458DC" w:rsidRDefault="00F458DC" w:rsidP="00F458DC">
            <w:pPr>
              <w:ind w:leftChars="200" w:left="400" w:firstLine="720"/>
              <w:rPr>
                <w:rFonts w:ascii="Gulim" w:eastAsia="Gulim" w:hAnsi="Gulim"/>
                <w:sz w:val="24"/>
                <w:szCs w:val="24"/>
                <w:lang w:eastAsia="zh-CN"/>
              </w:rPr>
            </w:pPr>
            <w:r>
              <w:rPr>
                <w:rFonts w:hint="eastAsia"/>
                <w:lang w:eastAsia="zh-CN"/>
              </w:rPr>
              <w:t>- Inter and intra frequency handover</w:t>
            </w:r>
            <w:r>
              <w:rPr>
                <w:lang w:eastAsia="zh-CN"/>
              </w:rPr>
              <w:t>/SCG change</w:t>
            </w:r>
          </w:p>
          <w:p w14:paraId="5CB06796" w14:textId="77777777" w:rsidR="00F458DC" w:rsidRPr="00F458DC" w:rsidRDefault="00F458DC" w:rsidP="00F458DC">
            <w:pPr>
              <w:ind w:leftChars="200" w:left="400" w:firstLine="720"/>
              <w:rPr>
                <w:lang w:val="de-DE" w:eastAsia="zh-CN"/>
              </w:rPr>
            </w:pPr>
            <w:r w:rsidRPr="00F458DC">
              <w:rPr>
                <w:rFonts w:hint="eastAsia"/>
                <w:lang w:val="de-DE" w:eastAsia="zh-CN"/>
              </w:rPr>
              <w:t xml:space="preserve">- Inter-CU, intra-CU/inter-DU </w:t>
            </w:r>
            <w:proofErr w:type="spellStart"/>
            <w:r w:rsidRPr="00F458DC">
              <w:rPr>
                <w:rFonts w:hint="eastAsia"/>
                <w:lang w:val="de-DE" w:eastAsia="zh-CN"/>
              </w:rPr>
              <w:t>and</w:t>
            </w:r>
            <w:proofErr w:type="spellEnd"/>
            <w:r w:rsidRPr="00F458DC">
              <w:rPr>
                <w:rFonts w:hint="eastAsia"/>
                <w:lang w:val="de-DE" w:eastAsia="zh-CN"/>
              </w:rPr>
              <w:t xml:space="preserve"> </w:t>
            </w:r>
            <w:r w:rsidRPr="00F458DC">
              <w:rPr>
                <w:lang w:val="de-DE" w:eastAsia="zh-CN"/>
              </w:rPr>
              <w:t>i</w:t>
            </w:r>
            <w:r w:rsidRPr="00F458DC">
              <w:rPr>
                <w:rFonts w:hint="eastAsia"/>
                <w:lang w:val="de-DE" w:eastAsia="zh-CN"/>
              </w:rPr>
              <w:t>ntra-DU</w:t>
            </w:r>
            <w:r w:rsidRPr="00F458DC">
              <w:rPr>
                <w:lang w:val="de-DE" w:eastAsia="zh-CN"/>
              </w:rPr>
              <w:t xml:space="preserve"> </w:t>
            </w:r>
            <w:proofErr w:type="spellStart"/>
            <w:r w:rsidRPr="00F458DC">
              <w:rPr>
                <w:lang w:val="de-DE" w:eastAsia="zh-CN"/>
              </w:rPr>
              <w:t>handover</w:t>
            </w:r>
            <w:proofErr w:type="spellEnd"/>
            <w:r w:rsidRPr="00F458DC">
              <w:rPr>
                <w:lang w:val="de-DE" w:eastAsia="zh-CN"/>
              </w:rPr>
              <w:t xml:space="preserve">/SCG </w:t>
            </w:r>
            <w:proofErr w:type="spellStart"/>
            <w:r w:rsidRPr="00F458DC">
              <w:rPr>
                <w:lang w:val="de-DE" w:eastAsia="zh-CN"/>
              </w:rPr>
              <w:t>change</w:t>
            </w:r>
            <w:proofErr w:type="spellEnd"/>
          </w:p>
          <w:p w14:paraId="7682BBF5" w14:textId="77777777" w:rsidR="00F458DC" w:rsidRDefault="00F458DC" w:rsidP="00F458DC">
            <w:pPr>
              <w:ind w:leftChars="200" w:left="400" w:firstLine="720"/>
              <w:rPr>
                <w:lang w:eastAsia="zh-CN"/>
              </w:rPr>
            </w:pPr>
            <w:r>
              <w:rPr>
                <w:rFonts w:hint="eastAsia"/>
                <w:lang w:eastAsia="zh-CN"/>
              </w:rPr>
              <w:t xml:space="preserve">- Synchronous and asynchronous deployments </w:t>
            </w:r>
            <w:r>
              <w:rPr>
                <w:lang w:eastAsia="zh-CN"/>
              </w:rPr>
              <w:t>as assumed</w:t>
            </w:r>
            <w:r>
              <w:rPr>
                <w:rFonts w:hint="eastAsia"/>
                <w:lang w:eastAsia="zh-CN"/>
              </w:rPr>
              <w:t xml:space="preserve"> in Rel-15 NR</w:t>
            </w:r>
          </w:p>
          <w:p w14:paraId="10719760" w14:textId="77777777" w:rsidR="00F458DC" w:rsidRDefault="00F458DC" w:rsidP="00F458DC">
            <w:pPr>
              <w:ind w:leftChars="200" w:left="400" w:firstLine="720"/>
              <w:rPr>
                <w:lang w:eastAsia="zh-CN"/>
              </w:rPr>
            </w:pPr>
            <w:r>
              <w:rPr>
                <w:rFonts w:hint="eastAsia"/>
                <w:lang w:eastAsia="zh-CN"/>
              </w:rPr>
              <w:t xml:space="preserve">- </w:t>
            </w:r>
            <w:r>
              <w:rPr>
                <w:lang w:eastAsia="zh-CN"/>
              </w:rPr>
              <w:t>UE capability on the number of Tx/Rx chains</w:t>
            </w:r>
          </w:p>
          <w:p w14:paraId="70C8EA9B" w14:textId="77777777" w:rsidR="00F458DC" w:rsidRDefault="00F458DC" w:rsidP="00F458DC">
            <w:pPr>
              <w:ind w:leftChars="200" w:left="400" w:firstLine="720"/>
              <w:rPr>
                <w:lang w:eastAsia="zh-CN"/>
              </w:rPr>
            </w:pPr>
            <w:r>
              <w:rPr>
                <w:rFonts w:hint="eastAsia"/>
                <w:lang w:eastAsia="zh-CN"/>
              </w:rPr>
              <w:t>- Low and high velocity</w:t>
            </w:r>
          </w:p>
          <w:p w14:paraId="29B548BD" w14:textId="0302101D" w:rsidR="00F458DC" w:rsidRPr="00F458DC" w:rsidRDefault="00F458DC" w:rsidP="00F458DC">
            <w:pPr>
              <w:ind w:leftChars="200" w:left="400" w:firstLine="720"/>
              <w:rPr>
                <w:lang w:eastAsia="zh-CN"/>
              </w:rPr>
            </w:pPr>
            <w:r>
              <w:rPr>
                <w:lang w:eastAsia="zh-CN"/>
              </w:rPr>
              <w:t>- FR1 and FR2 frequencies</w:t>
            </w:r>
          </w:p>
        </w:tc>
      </w:tr>
    </w:tbl>
    <w:p w14:paraId="613A8545" w14:textId="4BB497E8" w:rsidR="00F458DC" w:rsidRDefault="00F458DC" w:rsidP="00F458DC">
      <w:r>
        <w:br/>
        <w:t>With this contribution we address the improvements of the robustness during handover</w:t>
      </w:r>
      <w:r w:rsidR="00021DD9">
        <w:t xml:space="preserve"> or SCG change</w:t>
      </w:r>
      <w:r>
        <w:t>.</w:t>
      </w:r>
    </w:p>
    <w:p w14:paraId="6A348A94" w14:textId="70E0809E" w:rsidR="00021DD9" w:rsidRPr="006E13D1" w:rsidRDefault="00021DD9" w:rsidP="00F458DC">
      <w:r>
        <w:t xml:space="preserve">In the same RAN#80, a similar Work Item was </w:t>
      </w:r>
      <w:r w:rsidR="00CF1B30">
        <w:t xml:space="preserve">approved </w:t>
      </w:r>
      <w:r>
        <w:t xml:space="preserve">for LTE </w:t>
      </w:r>
      <w:r>
        <w:fldChar w:fldCharType="begin"/>
      </w:r>
      <w:r>
        <w:instrText xml:space="preserve"> REF _Ref535824615 \r \h </w:instrText>
      </w:r>
      <w:r>
        <w:fldChar w:fldCharType="separate"/>
      </w:r>
      <w:r>
        <w:t>[2]</w:t>
      </w:r>
      <w:r>
        <w:fldChar w:fldCharType="end"/>
      </w:r>
      <w:r>
        <w:t xml:space="preserve">, and the work for this has already started in </w:t>
      </w:r>
      <w:r w:rsidR="00CF1B30">
        <w:t>October 2018 (i.e. RAN2#103bis)</w:t>
      </w:r>
      <w:r>
        <w:t>.</w:t>
      </w:r>
      <w:r w:rsidR="00A250A7">
        <w:t xml:space="preserve"> </w:t>
      </w:r>
      <w:proofErr w:type="gramStart"/>
      <w:r w:rsidR="00A250A7">
        <w:t>As a consequence</w:t>
      </w:r>
      <w:proofErr w:type="gramEnd"/>
      <w:r w:rsidR="00A250A7">
        <w:t>, in this contribution we will focus on discussing the differences between LT</w:t>
      </w:r>
      <w:r w:rsidR="003C1827">
        <w:t>E and NR with respect to mobility robustness.</w:t>
      </w:r>
    </w:p>
    <w:p w14:paraId="127ACA6D" w14:textId="0F2FC673" w:rsidR="00CD4C7B" w:rsidRPr="006E13D1" w:rsidRDefault="00CD4C7B" w:rsidP="00CD4C7B">
      <w:pPr>
        <w:pStyle w:val="Heading1"/>
      </w:pPr>
      <w:r w:rsidRPr="006E13D1">
        <w:lastRenderedPageBreak/>
        <w:t>2</w:t>
      </w:r>
      <w:r w:rsidRPr="006E13D1">
        <w:tab/>
      </w:r>
      <w:r w:rsidR="00063C02">
        <w:t>Basics and definitions of robustness</w:t>
      </w:r>
    </w:p>
    <w:p w14:paraId="5524F183" w14:textId="38A41BBA" w:rsidR="00CD4C7B" w:rsidRDefault="00063C02" w:rsidP="00CD4C7B">
      <w:r>
        <w:t xml:space="preserve">In </w:t>
      </w:r>
      <w:r>
        <w:fldChar w:fldCharType="begin"/>
      </w:r>
      <w:r>
        <w:instrText xml:space="preserve"> REF _Ref535825122 \r \h </w:instrText>
      </w:r>
      <w:r>
        <w:fldChar w:fldCharType="separate"/>
      </w:r>
      <w:r>
        <w:t>[3]</w:t>
      </w:r>
      <w:r>
        <w:fldChar w:fldCharType="end"/>
      </w:r>
      <w:r>
        <w:t xml:space="preserve"> we have discussed the basic</w:t>
      </w:r>
      <w:r w:rsidR="001A7D54">
        <w:t xml:space="preserve"> terms</w:t>
      </w:r>
      <w:r>
        <w:t xml:space="preserve"> </w:t>
      </w:r>
      <w:r w:rsidR="001A7D54">
        <w:t xml:space="preserve">applicable </w:t>
      </w:r>
      <w:r>
        <w:t xml:space="preserve">for LTE, </w:t>
      </w:r>
      <w:r w:rsidR="001A7D54">
        <w:t xml:space="preserve">but </w:t>
      </w:r>
      <w:r>
        <w:t>we assume that the basics are identical to LTE, and therefore do not repeat the discussion here.</w:t>
      </w:r>
    </w:p>
    <w:p w14:paraId="1F06CCAE" w14:textId="1CB6BDC2" w:rsidR="0056065F" w:rsidRDefault="001B42C7" w:rsidP="00CD4C7B">
      <w:r>
        <w:t xml:space="preserve">For the sake of convenience, we copy the main conclusion from the explanations in </w:t>
      </w:r>
      <w:r>
        <w:fldChar w:fldCharType="begin"/>
      </w:r>
      <w:r>
        <w:instrText xml:space="preserve"> REF _Ref535825122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1B42C7" w14:paraId="340C9056" w14:textId="77777777" w:rsidTr="001B42C7">
        <w:tc>
          <w:tcPr>
            <w:tcW w:w="9631" w:type="dxa"/>
          </w:tcPr>
          <w:p w14:paraId="773856EB" w14:textId="77777777" w:rsidR="001B42C7" w:rsidRDefault="001B42C7" w:rsidP="00CD4C7B">
            <w:pPr>
              <w:rPr>
                <w:b/>
              </w:rPr>
            </w:pPr>
            <w:r>
              <w:rPr>
                <w:b/>
              </w:rPr>
              <w:t>RAN2 is asked to confirm that i</w:t>
            </w:r>
            <w:r w:rsidRPr="00662828">
              <w:rPr>
                <w:b/>
              </w:rPr>
              <w:t>mproving mobility robustness means reducing</w:t>
            </w:r>
            <w:r>
              <w:rPr>
                <w:b/>
              </w:rPr>
              <w:t xml:space="preserve"> the number of </w:t>
            </w:r>
            <w:r w:rsidRPr="00662828">
              <w:rPr>
                <w:b/>
              </w:rPr>
              <w:t xml:space="preserve">RLFs and </w:t>
            </w:r>
            <w:proofErr w:type="spellStart"/>
            <w:r w:rsidRPr="00662828">
              <w:rPr>
                <w:b/>
              </w:rPr>
              <w:t>HoFs</w:t>
            </w:r>
            <w:proofErr w:type="spellEnd"/>
            <w:r>
              <w:rPr>
                <w:b/>
              </w:rPr>
              <w:t>.</w:t>
            </w:r>
          </w:p>
          <w:p w14:paraId="1B097DC4" w14:textId="77777777" w:rsidR="001B42C7" w:rsidRDefault="001B42C7" w:rsidP="00CD4C7B">
            <w:pPr>
              <w:rPr>
                <w:b/>
              </w:rPr>
            </w:pPr>
            <w:r w:rsidRPr="008F4E79">
              <w:rPr>
                <w:b/>
              </w:rPr>
              <w:t>Main limitation on the ability to react on channel degradations are Layer 3 filtering and time to trigger</w:t>
            </w:r>
            <w:r>
              <w:rPr>
                <w:b/>
              </w:rPr>
              <w:t xml:space="preserve"> (TTT)</w:t>
            </w:r>
            <w:r w:rsidRPr="008F4E79">
              <w:rPr>
                <w:b/>
              </w:rPr>
              <w:t>.</w:t>
            </w:r>
          </w:p>
          <w:p w14:paraId="4423FF79" w14:textId="7F844909" w:rsidR="001B42C7" w:rsidRDefault="001B42C7" w:rsidP="00CD4C7B">
            <w:r>
              <w:rPr>
                <w:b/>
              </w:rPr>
              <w:t>Focus of enhanced mobility robustness shall be on intra-frequency handovers and on homogeneous scenarios.</w:t>
            </w:r>
          </w:p>
        </w:tc>
      </w:tr>
    </w:tbl>
    <w:p w14:paraId="4C0E33DA" w14:textId="44F3193D" w:rsidR="00063C02" w:rsidRDefault="007368C4" w:rsidP="00CD4C7B">
      <w:r>
        <w:br/>
      </w:r>
      <w:bookmarkStart w:id="0" w:name="_GoBack"/>
      <w:bookmarkEnd w:id="0"/>
      <w:r w:rsidR="00063C02">
        <w:t xml:space="preserve">Additional challenges in NR are created by the beamforming aspect at higher and lower frequencies. </w:t>
      </w:r>
      <w:r w:rsidR="0001661B">
        <w:t>As a result</w:t>
      </w:r>
      <w:r w:rsidR="00063C02">
        <w:t xml:space="preserve">, it </w:t>
      </w:r>
      <w:proofErr w:type="gramStart"/>
      <w:r w:rsidR="00063C02">
        <w:t>has to</w:t>
      </w:r>
      <w:proofErr w:type="gramEnd"/>
      <w:r w:rsidR="00063C02">
        <w:t xml:space="preserve"> be studied whether solutions agreed in LTE require an extension for the beamforming aspect.</w:t>
      </w:r>
    </w:p>
    <w:p w14:paraId="2500A73C" w14:textId="2818ACD8" w:rsidR="001A7D54" w:rsidRPr="00643203" w:rsidRDefault="00643203" w:rsidP="00CD4C7B">
      <w:pPr>
        <w:rPr>
          <w:b/>
        </w:rPr>
      </w:pPr>
      <w:r w:rsidRPr="00295A09">
        <w:rPr>
          <w:b/>
        </w:rPr>
        <w:t xml:space="preserve">Observation 1: The basics of NR mobility are identical to those in LTE; additional challenges </w:t>
      </w:r>
      <w:proofErr w:type="gramStart"/>
      <w:r w:rsidRPr="00295A09">
        <w:rPr>
          <w:b/>
        </w:rPr>
        <w:t>have to</w:t>
      </w:r>
      <w:proofErr w:type="gramEnd"/>
      <w:r w:rsidRPr="00295A09">
        <w:rPr>
          <w:b/>
        </w:rPr>
        <w:t xml:space="preserve"> be resolved in NR due to the beamforming aspects.</w:t>
      </w:r>
    </w:p>
    <w:p w14:paraId="3A4AE8B9" w14:textId="0253CB51" w:rsidR="00033CC7" w:rsidRDefault="00582BE3">
      <w:pPr>
        <w:pStyle w:val="Heading1"/>
      </w:pPr>
      <w:r w:rsidRPr="007368C4">
        <w:t>3</w:t>
      </w:r>
      <w:r w:rsidR="00FA4528" w:rsidRPr="007368C4">
        <w:tab/>
        <w:t>Candidate solutions</w:t>
      </w:r>
    </w:p>
    <w:p w14:paraId="0FBC067B" w14:textId="2159A835" w:rsidR="00A163AD" w:rsidRPr="00A163AD" w:rsidRDefault="00A163AD" w:rsidP="00372818">
      <w:r>
        <w:t xml:space="preserve">In contrast to LTE, where mobility was already enhanced in multiple work items during the last years (as listed in </w:t>
      </w:r>
      <w:r>
        <w:fldChar w:fldCharType="begin"/>
      </w:r>
      <w:r>
        <w:instrText xml:space="preserve"> REF _Ref535825122 \r \h </w:instrText>
      </w:r>
      <w:r>
        <w:fldChar w:fldCharType="separate"/>
      </w:r>
      <w:r>
        <w:t>[3]</w:t>
      </w:r>
      <w:r>
        <w:fldChar w:fldCharType="end"/>
      </w:r>
      <w:r>
        <w:t xml:space="preserve">), similar enhancements do not exist in NR. </w:t>
      </w:r>
      <w:r w:rsidR="00A774E5">
        <w:t>Hence, for NR, we should not blindly adopt all LTE mobility robustness features, instead we should focus on the features with most promising performance.</w:t>
      </w:r>
    </w:p>
    <w:p w14:paraId="15D883D5" w14:textId="2CBAF79E" w:rsidR="00FA4528" w:rsidRPr="006E13D1" w:rsidRDefault="00582BE3">
      <w:pPr>
        <w:pStyle w:val="Heading2"/>
      </w:pPr>
      <w:r>
        <w:t>3</w:t>
      </w:r>
      <w:r w:rsidR="00FA4528" w:rsidRPr="006E13D1">
        <w:t>.1</w:t>
      </w:r>
      <w:r w:rsidR="00FA4528" w:rsidRPr="006E13D1">
        <w:tab/>
      </w:r>
      <w:r w:rsidR="00FA4528">
        <w:t>Conditional Handover</w:t>
      </w:r>
    </w:p>
    <w:p w14:paraId="275F80AF" w14:textId="18685468" w:rsidR="00FA4528" w:rsidRDefault="00FA4528" w:rsidP="002D694C">
      <w:r>
        <w:t xml:space="preserve">For the LTE work item, conditional handover (CHO) </w:t>
      </w:r>
      <w:r>
        <w:fldChar w:fldCharType="begin"/>
      </w:r>
      <w:r>
        <w:instrText xml:space="preserve"> REF _Ref525555053 \r \h </w:instrText>
      </w:r>
      <w:r>
        <w:fldChar w:fldCharType="separate"/>
      </w:r>
      <w:r w:rsidR="00780A21">
        <w:t>[5]</w:t>
      </w:r>
      <w:r>
        <w:fldChar w:fldCharType="end"/>
      </w:r>
      <w:r>
        <w:t xml:space="preserve"> was agreed in RAN2#</w:t>
      </w:r>
      <w:r w:rsidR="00231804">
        <w:t>104</w:t>
      </w:r>
      <w:r>
        <w:t xml:space="preserve"> to be the most promising solution.</w:t>
      </w:r>
      <w:r w:rsidR="00780A21">
        <w:t xml:space="preserve"> </w:t>
      </w:r>
      <w:r w:rsidR="00273840">
        <w:t xml:space="preserve">The </w:t>
      </w:r>
      <w:r w:rsidR="00780A21">
        <w:t>details</w:t>
      </w:r>
      <w:r w:rsidR="00273840">
        <w:t xml:space="preserve"> of CHO</w:t>
      </w:r>
      <w:r w:rsidR="00780A21">
        <w:t xml:space="preserve"> are still being investigated. </w:t>
      </w:r>
    </w:p>
    <w:p w14:paraId="59453F25" w14:textId="59A068F0" w:rsidR="00FA4528" w:rsidRDefault="00FA4528" w:rsidP="002D694C">
      <w:r>
        <w:t>We believe that CHO is also a promising solution for NR. The LTE agreements shall be used as baseline for NR. Extensions will be need</w:t>
      </w:r>
      <w:r w:rsidR="00F84ED3">
        <w:t>ed</w:t>
      </w:r>
      <w:r>
        <w:t xml:space="preserve"> to capture the NR beamforming aspects</w:t>
      </w:r>
      <w:r w:rsidR="00F5556A">
        <w:t>.</w:t>
      </w:r>
      <w:r w:rsidR="009763D6">
        <w:t xml:space="preserve"> </w:t>
      </w:r>
      <w:proofErr w:type="gramStart"/>
      <w:r w:rsidR="00F5556A">
        <w:t>I</w:t>
      </w:r>
      <w:r w:rsidR="009763D6">
        <w:t>n particular</w:t>
      </w:r>
      <w:r w:rsidR="00F5556A">
        <w:t>, fall-back</w:t>
      </w:r>
      <w:proofErr w:type="gramEnd"/>
      <w:r w:rsidR="00F5556A">
        <w:t xml:space="preserve"> to contention-based random access (CBRA) may happen frequently with CHO, since the prepared beam(s) may get outdated due to the early HO Command</w:t>
      </w:r>
      <w:r>
        <w:t>. Further enhancements of the solutions discussed in LTE may be considered.</w:t>
      </w:r>
    </w:p>
    <w:p w14:paraId="42CD5C64" w14:textId="3429F3A9" w:rsidR="004D3D5C" w:rsidRPr="00C91DE5" w:rsidRDefault="00F84ED3" w:rsidP="002D694C">
      <w:pPr>
        <w:rPr>
          <w:b/>
        </w:rPr>
      </w:pPr>
      <w:r w:rsidRPr="00C91DE5">
        <w:rPr>
          <w:b/>
        </w:rPr>
        <w:t xml:space="preserve">Proposal </w:t>
      </w:r>
      <w:r w:rsidR="00372818">
        <w:rPr>
          <w:b/>
        </w:rPr>
        <w:t>1</w:t>
      </w:r>
      <w:r w:rsidRPr="00C91DE5">
        <w:rPr>
          <w:b/>
        </w:rPr>
        <w:t xml:space="preserve">: Conditional Handover shall be considered, the LTE agreements shall be used as baseline, and extensions for NR beamforming </w:t>
      </w:r>
      <w:proofErr w:type="gramStart"/>
      <w:r w:rsidRPr="00C91DE5">
        <w:rPr>
          <w:b/>
        </w:rPr>
        <w:t>have to</w:t>
      </w:r>
      <w:proofErr w:type="gramEnd"/>
      <w:r w:rsidRPr="00C91DE5">
        <w:rPr>
          <w:b/>
        </w:rPr>
        <w:t xml:space="preserve"> be studied.</w:t>
      </w:r>
    </w:p>
    <w:p w14:paraId="7F8A4DF5" w14:textId="1BBA25C4" w:rsidR="00FA4528" w:rsidRPr="006E13D1" w:rsidRDefault="00582BE3" w:rsidP="00FA4528">
      <w:pPr>
        <w:pStyle w:val="Heading2"/>
      </w:pPr>
      <w:r>
        <w:t>3</w:t>
      </w:r>
      <w:r w:rsidR="00FA4528" w:rsidRPr="006E13D1">
        <w:t>.</w:t>
      </w:r>
      <w:r w:rsidR="00FA4528">
        <w:t>2</w:t>
      </w:r>
      <w:r w:rsidR="00FA4528" w:rsidRPr="006E13D1">
        <w:tab/>
      </w:r>
      <w:r w:rsidR="00FA4528">
        <w:t>Dual Connected Handover</w:t>
      </w:r>
    </w:p>
    <w:p w14:paraId="0E7E75D9" w14:textId="739021BD" w:rsidR="00FA4528" w:rsidRDefault="000C008C" w:rsidP="000C008C">
      <w:r>
        <w:t xml:space="preserve">The Dual Connected Handover </w:t>
      </w:r>
      <w:r w:rsidR="00A774E5">
        <w:t xml:space="preserve">(split bearer or non-split bearer) </w:t>
      </w:r>
      <w:r w:rsidR="00780A21">
        <w:t>is one of the</w:t>
      </w:r>
      <w:r>
        <w:t xml:space="preserve"> candidate solution</w:t>
      </w:r>
      <w:r w:rsidR="00780A21">
        <w:t>s</w:t>
      </w:r>
      <w:r>
        <w:t xml:space="preserve"> for the minimization of user </w:t>
      </w:r>
      <w:r w:rsidR="00DA664A">
        <w:t xml:space="preserve">data </w:t>
      </w:r>
      <w:r>
        <w:t xml:space="preserve">interruption in LTE, and most likely for NR as well. </w:t>
      </w:r>
      <w:r w:rsidR="00A774E5">
        <w:t xml:space="preserve">The general assumption is that a UE establishes the link to the target BEFORE detaching from the source cell. </w:t>
      </w:r>
      <w:r>
        <w:t>A</w:t>
      </w:r>
      <w:r w:rsidR="00FA4528">
        <w:t>lthough the dual connected handover is not considered for robustness in</w:t>
      </w:r>
      <w:r>
        <w:t xml:space="preserve"> the LTE discussion, we believe that this </w:t>
      </w:r>
      <w:r w:rsidR="00780A21">
        <w:t xml:space="preserve">approach </w:t>
      </w:r>
      <w:r>
        <w:t xml:space="preserve">should </w:t>
      </w:r>
      <w:r w:rsidR="00116974">
        <w:t>be revisited in NR and not be blindly adopted</w:t>
      </w:r>
      <w:r>
        <w:t>.</w:t>
      </w:r>
    </w:p>
    <w:p w14:paraId="51D9B28A" w14:textId="62678435" w:rsidR="000C008C" w:rsidRDefault="000C008C" w:rsidP="00FA4528">
      <w:r>
        <w:t xml:space="preserve">In </w:t>
      </w:r>
      <w:r>
        <w:fldChar w:fldCharType="begin"/>
      </w:r>
      <w:r>
        <w:instrText xml:space="preserve"> REF _Ref535827478 \r \h </w:instrText>
      </w:r>
      <w:r>
        <w:fldChar w:fldCharType="separate"/>
      </w:r>
      <w:r w:rsidR="00780A21">
        <w:t>[4]</w:t>
      </w:r>
      <w:r>
        <w:fldChar w:fldCharType="end"/>
      </w:r>
      <w:r>
        <w:t xml:space="preserve">, it is shown that a dual connected handover solution can create significant benefits in terms of robustness, if SRB duplication is used. More details are explained in </w:t>
      </w:r>
      <w:r>
        <w:fldChar w:fldCharType="begin"/>
      </w:r>
      <w:r>
        <w:instrText xml:space="preserve"> REF _Ref535825122 \r \h </w:instrText>
      </w:r>
      <w:r>
        <w:fldChar w:fldCharType="separate"/>
      </w:r>
      <w:r w:rsidR="00780A21">
        <w:t>[3]</w:t>
      </w:r>
      <w:r>
        <w:fldChar w:fldCharType="end"/>
      </w:r>
      <w:r>
        <w:t xml:space="preserve">. However, SRB duplication requires a split bearer, and this seems to be </w:t>
      </w:r>
      <w:r w:rsidR="0076184D">
        <w:t xml:space="preserve">de-prioritized </w:t>
      </w:r>
      <w:r>
        <w:t>in LTE, primarily since DC implementations seem to be rare and thus there would be little reuse of existing split bearer solutions.</w:t>
      </w:r>
      <w:r w:rsidR="001E628C">
        <w:t xml:space="preserve"> Furthermore, those solutions may require two TRX chains at the terminal which would limit the</w:t>
      </w:r>
      <w:r w:rsidR="00780A21">
        <w:t>ir</w:t>
      </w:r>
      <w:r w:rsidR="001E628C">
        <w:t xml:space="preserve"> applicab</w:t>
      </w:r>
      <w:r w:rsidR="00780A21">
        <w:t>i</w:t>
      </w:r>
      <w:r w:rsidR="001E628C">
        <w:t>l</w:t>
      </w:r>
      <w:r w:rsidR="00780A21">
        <w:t>ity</w:t>
      </w:r>
      <w:r w:rsidR="001E628C">
        <w:t xml:space="preserve"> to a small subset of UEs.</w:t>
      </w:r>
    </w:p>
    <w:p w14:paraId="0B2D489A" w14:textId="3C8B9271" w:rsidR="001E628C" w:rsidRDefault="001E628C" w:rsidP="00FA4528">
      <w:r>
        <w:t>However, in NR many UEs will have EN-DC implemented and thus will have split bearer implementations as well as 2 TRX chains.</w:t>
      </w:r>
      <w:r w:rsidR="007070A1">
        <w:t xml:space="preserve"> Certainly, it </w:t>
      </w:r>
      <w:proofErr w:type="gramStart"/>
      <w:r w:rsidR="007070A1">
        <w:t>has to</w:t>
      </w:r>
      <w:proofErr w:type="gramEnd"/>
      <w:r w:rsidR="007070A1">
        <w:t xml:space="preserve"> be studied to what extent those aspects can be exploited; nevertheless, dual connected handover shall be considered for NR as robustness solution.</w:t>
      </w:r>
    </w:p>
    <w:p w14:paraId="517DC16E" w14:textId="487571B0" w:rsidR="007070A1" w:rsidRDefault="007070A1" w:rsidP="00FA4528">
      <w:r>
        <w:t>Recall that a dual connected handover solution</w:t>
      </w:r>
      <w:r w:rsidR="0043653C">
        <w:t xml:space="preserve"> (split bearer or non-split bearer)</w:t>
      </w:r>
      <w:r>
        <w:t xml:space="preserve"> is needed anyway for minimization of user </w:t>
      </w:r>
      <w:r w:rsidR="00DA664A">
        <w:t xml:space="preserve">data </w:t>
      </w:r>
      <w:r>
        <w:t>interruption and extending the solution to create robustness may require little or no effort (the PDCP duplication functionality is already very flexible). Depending on UE capabilities, this may even make the conditional handover obsolete.</w:t>
      </w:r>
    </w:p>
    <w:p w14:paraId="4E459D1D" w14:textId="3098B9E1" w:rsidR="00134ADC" w:rsidRPr="00C91DE5" w:rsidRDefault="00C91DE5" w:rsidP="00C91DE5">
      <w:pPr>
        <w:rPr>
          <w:b/>
        </w:rPr>
      </w:pPr>
      <w:r w:rsidRPr="00C91DE5">
        <w:rPr>
          <w:b/>
        </w:rPr>
        <w:lastRenderedPageBreak/>
        <w:t xml:space="preserve">Proposal </w:t>
      </w:r>
      <w:r w:rsidR="00372818">
        <w:rPr>
          <w:b/>
        </w:rPr>
        <w:t>2</w:t>
      </w:r>
      <w:r w:rsidRPr="00C91DE5">
        <w:rPr>
          <w:b/>
        </w:rPr>
        <w:t xml:space="preserve">: </w:t>
      </w:r>
      <w:r>
        <w:rPr>
          <w:b/>
        </w:rPr>
        <w:t>Dual Connected Handover using SRB duplication shall be considered for NR</w:t>
      </w:r>
      <w:r w:rsidR="003A6B2A">
        <w:rPr>
          <w:b/>
        </w:rPr>
        <w:t xml:space="preserve"> mobility robustness</w:t>
      </w:r>
      <w:r>
        <w:rPr>
          <w:b/>
        </w:rPr>
        <w:t>, depending on reusability of the EN-DC implementation including the 2TRX</w:t>
      </w:r>
      <w:r w:rsidRPr="00C91DE5">
        <w:rPr>
          <w:b/>
        </w:rPr>
        <w:t>.</w:t>
      </w:r>
    </w:p>
    <w:p w14:paraId="6DBF8486" w14:textId="5C1AC31A" w:rsidR="00C16C24" w:rsidRPr="006E13D1" w:rsidRDefault="00582BE3" w:rsidP="00C16C24">
      <w:pPr>
        <w:pStyle w:val="Heading2"/>
      </w:pPr>
      <w:r>
        <w:t>3</w:t>
      </w:r>
      <w:r w:rsidR="00C16C24" w:rsidRPr="006E13D1">
        <w:t>.</w:t>
      </w:r>
      <w:r w:rsidR="00134ADC">
        <w:t>3</w:t>
      </w:r>
      <w:r w:rsidR="00C16C24" w:rsidRPr="006E13D1">
        <w:tab/>
      </w:r>
      <w:r w:rsidR="00134ADC">
        <w:t>Intra-CU handover</w:t>
      </w:r>
    </w:p>
    <w:p w14:paraId="31D43429" w14:textId="492BB095" w:rsidR="001109C8" w:rsidRDefault="00535B46" w:rsidP="00FA4528">
      <w:r>
        <w:t>NR has specified a centralized architecture, where a single CU (containing PDCP, RRC, and SDAP) is connected to many DUs (containing the lower layers).</w:t>
      </w:r>
      <w:r w:rsidR="00E1197A">
        <w:t xml:space="preserve"> </w:t>
      </w:r>
      <w:r w:rsidR="001109C8">
        <w:t xml:space="preserve">So far, no handover optimization has been defined for this architecture, although the centralized nature of RRC and PDCP could be exploited in principle. </w:t>
      </w:r>
      <w:proofErr w:type="gramStart"/>
      <w:r w:rsidR="001109C8">
        <w:t>In particular, the</w:t>
      </w:r>
      <w:proofErr w:type="gramEnd"/>
      <w:r w:rsidR="001109C8">
        <w:t xml:space="preserve"> dual connected handover solutions may simplify significantly. However, we believe that the enhancements shall be applicable in all architectures (cf. work item objectives in section 1.). Any effort spent for special architecture </w:t>
      </w:r>
      <w:proofErr w:type="gramStart"/>
      <w:r w:rsidR="001109C8">
        <w:t>has to</w:t>
      </w:r>
      <w:proofErr w:type="gramEnd"/>
      <w:r w:rsidR="001109C8">
        <w:t xml:space="preserve"> be well justified.</w:t>
      </w:r>
    </w:p>
    <w:p w14:paraId="27F002DC" w14:textId="465096D3" w:rsidR="00134ADC" w:rsidRDefault="001109C8" w:rsidP="00FA4528">
      <w:pPr>
        <w:rPr>
          <w:b/>
        </w:rPr>
      </w:pPr>
      <w:r w:rsidRPr="00C91DE5">
        <w:rPr>
          <w:b/>
        </w:rPr>
        <w:t xml:space="preserve">Proposal </w:t>
      </w:r>
      <w:r w:rsidR="00372818">
        <w:rPr>
          <w:b/>
        </w:rPr>
        <w:t>3</w:t>
      </w:r>
      <w:r w:rsidRPr="00C91DE5">
        <w:rPr>
          <w:b/>
        </w:rPr>
        <w:t xml:space="preserve">: </w:t>
      </w:r>
      <w:r>
        <w:rPr>
          <w:b/>
        </w:rPr>
        <w:t>Dedicated solutions for special architectures shall have lower priority.</w:t>
      </w:r>
    </w:p>
    <w:p w14:paraId="6C429FE8" w14:textId="5608AEE0" w:rsidR="007070A1" w:rsidRPr="006E13D1" w:rsidRDefault="00582BE3" w:rsidP="007070A1">
      <w:pPr>
        <w:pStyle w:val="Heading2"/>
      </w:pPr>
      <w:r>
        <w:t>3</w:t>
      </w:r>
      <w:r w:rsidR="007070A1" w:rsidRPr="006E13D1">
        <w:t>.</w:t>
      </w:r>
      <w:r w:rsidR="00134ADC">
        <w:t>4</w:t>
      </w:r>
      <w:r w:rsidR="007070A1" w:rsidRPr="006E13D1">
        <w:tab/>
      </w:r>
      <w:r w:rsidR="00C16C24">
        <w:t>Further</w:t>
      </w:r>
      <w:r w:rsidR="007070A1">
        <w:t xml:space="preserve"> solutions</w:t>
      </w:r>
    </w:p>
    <w:p w14:paraId="7F096005" w14:textId="492896B2" w:rsidR="00FA4528" w:rsidRDefault="007070A1" w:rsidP="002D694C">
      <w:r>
        <w:t>As mentioned above, speed scaling based on mobility state estimation does not exist in NR. We believe that such a solution alone would not provide sufficient benefits, and in the presence of CHO or Dual Connected Handover (as well as MRO) it would be obsolete.</w:t>
      </w:r>
    </w:p>
    <w:p w14:paraId="3529FF2F" w14:textId="7F943D02" w:rsidR="00C4333C" w:rsidRDefault="00C4333C" w:rsidP="002D694C">
      <w:r>
        <w:t xml:space="preserve">In addition, one can consider the enhancements to beam selection and consolidation, so that the choice of beams for deriving the cell level quality is </w:t>
      </w:r>
      <w:r w:rsidR="00967859">
        <w:t xml:space="preserve">improved, thanks to another feedback sent after the L3 beam filtering is executed. More details can be found in our </w:t>
      </w:r>
      <w:r w:rsidR="00967859">
        <w:fldChar w:fldCharType="begin"/>
      </w:r>
      <w:r w:rsidR="00967859">
        <w:instrText xml:space="preserve"> REF _Ref536174896 \r \h </w:instrText>
      </w:r>
      <w:r w:rsidR="00967859">
        <w:fldChar w:fldCharType="separate"/>
      </w:r>
      <w:r w:rsidR="00967859">
        <w:t>[6]</w:t>
      </w:r>
      <w:r w:rsidR="00967859">
        <w:fldChar w:fldCharType="end"/>
      </w:r>
      <w:r w:rsidR="00967859">
        <w:t>.</w:t>
      </w:r>
    </w:p>
    <w:p w14:paraId="71C7BBBA" w14:textId="33ECBC7F" w:rsidR="009D77B7" w:rsidRPr="00DA7580" w:rsidRDefault="009D77B7" w:rsidP="002D694C">
      <w:pPr>
        <w:rPr>
          <w:b/>
        </w:rPr>
      </w:pPr>
      <w:r w:rsidRPr="00C91DE5">
        <w:rPr>
          <w:b/>
        </w:rPr>
        <w:t xml:space="preserve">Proposal </w:t>
      </w:r>
      <w:r w:rsidR="00372818">
        <w:rPr>
          <w:b/>
        </w:rPr>
        <w:t>4</w:t>
      </w:r>
      <w:r w:rsidRPr="00C91DE5">
        <w:rPr>
          <w:b/>
        </w:rPr>
        <w:t xml:space="preserve">: </w:t>
      </w:r>
      <w:r>
        <w:rPr>
          <w:b/>
        </w:rPr>
        <w:t>NR robustness enhancements shall have a clear focus on the most promising methods.</w:t>
      </w:r>
    </w:p>
    <w:p w14:paraId="5EDB6265" w14:textId="590E077C" w:rsidR="007070A1" w:rsidRPr="006E13D1" w:rsidRDefault="00582BE3" w:rsidP="007070A1">
      <w:pPr>
        <w:pStyle w:val="Heading1"/>
      </w:pPr>
      <w:r>
        <w:t>4</w:t>
      </w:r>
      <w:r w:rsidR="007070A1" w:rsidRPr="006E13D1">
        <w:tab/>
      </w:r>
      <w:r w:rsidR="007070A1">
        <w:t>C</w:t>
      </w:r>
      <w:r w:rsidR="003912CB">
        <w:t>onclusions</w:t>
      </w:r>
    </w:p>
    <w:p w14:paraId="24875161" w14:textId="13E03A9B" w:rsidR="008E396A" w:rsidRPr="007368C4" w:rsidRDefault="008E396A" w:rsidP="0068281C">
      <w:r w:rsidRPr="007368C4">
        <w:t>In this paper we have analysed how mobility robustness can be improved in NR.</w:t>
      </w:r>
      <w:r>
        <w:t xml:space="preserve"> The following observations and proposals have been made:</w:t>
      </w:r>
    </w:p>
    <w:p w14:paraId="7232AE3C" w14:textId="65FC8BAD" w:rsidR="0068281C" w:rsidRPr="00643203" w:rsidRDefault="0068281C" w:rsidP="0068281C">
      <w:pPr>
        <w:rPr>
          <w:b/>
        </w:rPr>
      </w:pPr>
      <w:r w:rsidRPr="00295A09">
        <w:rPr>
          <w:b/>
        </w:rPr>
        <w:t xml:space="preserve">Observation 1: The basics of NR mobility are identical to those in LTE; additional challenges </w:t>
      </w:r>
      <w:proofErr w:type="gramStart"/>
      <w:r w:rsidRPr="00295A09">
        <w:rPr>
          <w:b/>
        </w:rPr>
        <w:t>have to</w:t>
      </w:r>
      <w:proofErr w:type="gramEnd"/>
      <w:r w:rsidRPr="00295A09">
        <w:rPr>
          <w:b/>
        </w:rPr>
        <w:t xml:space="preserve"> be resolved in NR due to the beamforming aspects.</w:t>
      </w:r>
    </w:p>
    <w:p w14:paraId="324E37EE" w14:textId="77777777" w:rsidR="0068281C" w:rsidRDefault="0068281C" w:rsidP="0068281C">
      <w:pPr>
        <w:rPr>
          <w:b/>
        </w:rPr>
      </w:pPr>
      <w:r w:rsidRPr="00C91DE5">
        <w:rPr>
          <w:b/>
        </w:rPr>
        <w:t xml:space="preserve">Proposal </w:t>
      </w:r>
      <w:r>
        <w:rPr>
          <w:b/>
        </w:rPr>
        <w:t>1</w:t>
      </w:r>
      <w:r w:rsidRPr="00C91DE5">
        <w:rPr>
          <w:b/>
        </w:rPr>
        <w:t xml:space="preserve">: Conditional Handover shall be considered, the LTE agreements shall be used as baseline, and extensions for NR beamforming </w:t>
      </w:r>
      <w:proofErr w:type="gramStart"/>
      <w:r w:rsidRPr="00C91DE5">
        <w:rPr>
          <w:b/>
        </w:rPr>
        <w:t>have to</w:t>
      </w:r>
      <w:proofErr w:type="gramEnd"/>
      <w:r w:rsidRPr="00C91DE5">
        <w:rPr>
          <w:b/>
        </w:rPr>
        <w:t xml:space="preserve"> be studied.</w:t>
      </w:r>
    </w:p>
    <w:p w14:paraId="2502F351" w14:textId="77777777" w:rsidR="0068281C" w:rsidRDefault="0068281C" w:rsidP="0068281C">
      <w:pPr>
        <w:rPr>
          <w:b/>
        </w:rPr>
      </w:pPr>
      <w:r w:rsidRPr="00C91DE5">
        <w:rPr>
          <w:b/>
        </w:rPr>
        <w:t xml:space="preserve">Proposal </w:t>
      </w:r>
      <w:r>
        <w:rPr>
          <w:b/>
        </w:rPr>
        <w:t>2</w:t>
      </w:r>
      <w:r w:rsidRPr="00C91DE5">
        <w:rPr>
          <w:b/>
        </w:rPr>
        <w:t xml:space="preserve">: </w:t>
      </w:r>
      <w:r>
        <w:rPr>
          <w:b/>
        </w:rPr>
        <w:t>Dual Connected Handover using SRB duplication shall be considered for NR mobility robustness, depending on reusability of the EN-DC implementation including the 2TRX</w:t>
      </w:r>
      <w:r w:rsidRPr="00C91DE5">
        <w:rPr>
          <w:b/>
        </w:rPr>
        <w:t>.</w:t>
      </w:r>
    </w:p>
    <w:p w14:paraId="11749C75" w14:textId="77777777" w:rsidR="0068281C" w:rsidRDefault="0068281C" w:rsidP="0068281C">
      <w:pPr>
        <w:rPr>
          <w:b/>
        </w:rPr>
      </w:pPr>
      <w:r w:rsidRPr="00C91DE5">
        <w:rPr>
          <w:b/>
        </w:rPr>
        <w:t xml:space="preserve">Proposal </w:t>
      </w:r>
      <w:r>
        <w:rPr>
          <w:b/>
        </w:rPr>
        <w:t>3</w:t>
      </w:r>
      <w:r w:rsidRPr="00C91DE5">
        <w:rPr>
          <w:b/>
        </w:rPr>
        <w:t xml:space="preserve">: </w:t>
      </w:r>
      <w:r>
        <w:rPr>
          <w:b/>
        </w:rPr>
        <w:t>Dedicated solutions for special architectures shall have lower priority.</w:t>
      </w:r>
    </w:p>
    <w:p w14:paraId="0E82DF09" w14:textId="08269CDB" w:rsidR="00063C02" w:rsidRPr="006E13D1" w:rsidRDefault="0068281C" w:rsidP="00CD4C7B">
      <w:r w:rsidRPr="00C91DE5">
        <w:rPr>
          <w:b/>
        </w:rPr>
        <w:t xml:space="preserve">Proposal </w:t>
      </w:r>
      <w:r>
        <w:rPr>
          <w:b/>
        </w:rPr>
        <w:t>4</w:t>
      </w:r>
      <w:r w:rsidRPr="00C91DE5">
        <w:rPr>
          <w:b/>
        </w:rPr>
        <w:t xml:space="preserve">: </w:t>
      </w:r>
      <w:r>
        <w:rPr>
          <w:b/>
        </w:rPr>
        <w:t>NR robustness enhancements shall have a clear focus on the most promising methods.</w:t>
      </w:r>
    </w:p>
    <w:p w14:paraId="3460D97F" w14:textId="77777777" w:rsidR="00021DD9" w:rsidRPr="006E13D1" w:rsidRDefault="00021DD9" w:rsidP="00021DD9">
      <w:pPr>
        <w:pStyle w:val="Heading1"/>
      </w:pPr>
      <w:r w:rsidRPr="006E13D1">
        <w:t>References</w:t>
      </w:r>
    </w:p>
    <w:p w14:paraId="3DCD3723" w14:textId="45113433" w:rsidR="00021DD9" w:rsidRDefault="00021DD9" w:rsidP="00021DD9">
      <w:pPr>
        <w:numPr>
          <w:ilvl w:val="0"/>
          <w:numId w:val="4"/>
        </w:numPr>
        <w:overflowPunct w:val="0"/>
        <w:autoSpaceDE w:val="0"/>
        <w:autoSpaceDN w:val="0"/>
        <w:adjustRightInd w:val="0"/>
        <w:textAlignment w:val="baseline"/>
      </w:pPr>
      <w:bookmarkStart w:id="1" w:name="_Ref535824419"/>
      <w:bookmarkStart w:id="2" w:name="_Ref75086397"/>
      <w:bookmarkStart w:id="3" w:name="_Ref525555002"/>
      <w:r w:rsidRPr="00317570">
        <w:t>R</w:t>
      </w:r>
      <w:r>
        <w:t>P</w:t>
      </w:r>
      <w:r w:rsidRPr="00317570">
        <w:t>-</w:t>
      </w:r>
      <w:r w:rsidRPr="00E20E36">
        <w:t>181</w:t>
      </w:r>
      <w:r>
        <w:t>433,</w:t>
      </w:r>
      <w:r w:rsidRPr="006E13D1">
        <w:t xml:space="preserve"> </w:t>
      </w:r>
      <w:r w:rsidRPr="00021DD9">
        <w:rPr>
          <w:i/>
        </w:rPr>
        <w:t>NR mobility enhancements</w:t>
      </w:r>
      <w:r>
        <w:t xml:space="preserve"> – Intel Corporation</w:t>
      </w:r>
      <w:bookmarkEnd w:id="1"/>
    </w:p>
    <w:p w14:paraId="0284A54C" w14:textId="0A318113" w:rsidR="00021DD9" w:rsidRDefault="00021DD9" w:rsidP="00021DD9">
      <w:pPr>
        <w:numPr>
          <w:ilvl w:val="0"/>
          <w:numId w:val="4"/>
        </w:numPr>
        <w:overflowPunct w:val="0"/>
        <w:autoSpaceDE w:val="0"/>
        <w:autoSpaceDN w:val="0"/>
        <w:adjustRightInd w:val="0"/>
        <w:textAlignment w:val="baseline"/>
      </w:pPr>
      <w:bookmarkStart w:id="4" w:name="_Ref535824615"/>
      <w:r w:rsidRPr="00317570">
        <w:t>R</w:t>
      </w:r>
      <w:r>
        <w:t>P</w:t>
      </w:r>
      <w:r w:rsidRPr="00317570">
        <w:t>-</w:t>
      </w:r>
      <w:r w:rsidRPr="00E20E36">
        <w:t>181337</w:t>
      </w:r>
      <w:r>
        <w:t>,</w:t>
      </w:r>
      <w:r w:rsidRPr="006E13D1">
        <w:t xml:space="preserve"> </w:t>
      </w:r>
      <w:r w:rsidRPr="00E20E36">
        <w:rPr>
          <w:i/>
          <w:iCs/>
        </w:rPr>
        <w:t>New Work Item on even further Mobility enhancement in E-UTRAN</w:t>
      </w:r>
      <w:r>
        <w:t xml:space="preserve"> – China Mobile, Softbank</w:t>
      </w:r>
      <w:bookmarkEnd w:id="4"/>
    </w:p>
    <w:p w14:paraId="28315F90" w14:textId="4C3E4542" w:rsidR="00063C02" w:rsidRDefault="00063C02" w:rsidP="00063C02">
      <w:pPr>
        <w:numPr>
          <w:ilvl w:val="0"/>
          <w:numId w:val="4"/>
        </w:numPr>
        <w:overflowPunct w:val="0"/>
        <w:autoSpaceDE w:val="0"/>
        <w:autoSpaceDN w:val="0"/>
        <w:adjustRightInd w:val="0"/>
        <w:textAlignment w:val="baseline"/>
      </w:pPr>
      <w:bookmarkStart w:id="5" w:name="_Ref535825122"/>
      <w:r>
        <w:t xml:space="preserve">R2-1814463, </w:t>
      </w:r>
      <w:r w:rsidRPr="00063C02">
        <w:rPr>
          <w:i/>
        </w:rPr>
        <w:t>Potential Improvements of Mobility Robustness in LTE</w:t>
      </w:r>
      <w:r>
        <w:t xml:space="preserve"> – Nokia</w:t>
      </w:r>
      <w:bookmarkEnd w:id="5"/>
      <w:r>
        <w:t xml:space="preserve"> </w:t>
      </w:r>
    </w:p>
    <w:p w14:paraId="00B040F8" w14:textId="77777777" w:rsidR="00021DD9" w:rsidRDefault="00021DD9" w:rsidP="00021DD9">
      <w:pPr>
        <w:numPr>
          <w:ilvl w:val="0"/>
          <w:numId w:val="4"/>
        </w:numPr>
        <w:overflowPunct w:val="0"/>
        <w:autoSpaceDE w:val="0"/>
        <w:autoSpaceDN w:val="0"/>
        <w:adjustRightInd w:val="0"/>
        <w:textAlignment w:val="baseline"/>
      </w:pPr>
      <w:bookmarkStart w:id="6" w:name="_Ref525557509"/>
      <w:bookmarkStart w:id="7" w:name="_Ref535827478"/>
      <w:bookmarkEnd w:id="2"/>
      <w:bookmarkEnd w:id="3"/>
      <w:r>
        <w:t xml:space="preserve">I. Viering, H. Martikainen, A. Lobinger, B. Wegmann, "Zero-Zero Mobility: Intra-Frequency Handovers with Zero Interruption and Zero Failures," </w:t>
      </w:r>
      <w:r w:rsidRPr="000961DE">
        <w:rPr>
          <w:i/>
        </w:rPr>
        <w:t>IEEE Network Magazine</w:t>
      </w:r>
      <w:r>
        <w:t xml:space="preserve">, </w:t>
      </w:r>
      <w:proofErr w:type="gramStart"/>
      <w:r>
        <w:t>March,</w:t>
      </w:r>
      <w:proofErr w:type="gramEnd"/>
      <w:r>
        <w:t xml:space="preserve"> 2018.</w:t>
      </w:r>
      <w:bookmarkEnd w:id="6"/>
      <w:bookmarkEnd w:id="7"/>
    </w:p>
    <w:p w14:paraId="04B91076" w14:textId="46437029" w:rsidR="00021DD9" w:rsidRDefault="00021DD9" w:rsidP="00021DD9">
      <w:pPr>
        <w:numPr>
          <w:ilvl w:val="0"/>
          <w:numId w:val="4"/>
        </w:numPr>
        <w:overflowPunct w:val="0"/>
        <w:autoSpaceDE w:val="0"/>
        <w:autoSpaceDN w:val="0"/>
        <w:adjustRightInd w:val="0"/>
        <w:textAlignment w:val="baseline"/>
      </w:pPr>
      <w:bookmarkStart w:id="8" w:name="_Ref525555053"/>
      <w:r>
        <w:t xml:space="preserve">H. Martikainen, I. Viering, A. Lobinger, T. Jokela, "On the Basics of Conditional Handover for 5G Mobility," </w:t>
      </w:r>
      <w:r w:rsidRPr="000961DE">
        <w:rPr>
          <w:i/>
        </w:rPr>
        <w:t>IEEE International Symposium on Personal, Indoor and Mobile Radio Communications (PIMRC)</w:t>
      </w:r>
      <w:r>
        <w:t xml:space="preserve">, Bologna, Italy, </w:t>
      </w:r>
      <w:proofErr w:type="gramStart"/>
      <w:r>
        <w:t>September,</w:t>
      </w:r>
      <w:proofErr w:type="gramEnd"/>
      <w:r>
        <w:t xml:space="preserve"> 2018.</w:t>
      </w:r>
      <w:bookmarkEnd w:id="8"/>
    </w:p>
    <w:p w14:paraId="2432AB37" w14:textId="4C5C42F1" w:rsidR="00C4333C" w:rsidRDefault="00C4333C" w:rsidP="00C4333C">
      <w:pPr>
        <w:numPr>
          <w:ilvl w:val="0"/>
          <w:numId w:val="4"/>
        </w:numPr>
        <w:overflowPunct w:val="0"/>
        <w:autoSpaceDE w:val="0"/>
        <w:autoSpaceDN w:val="0"/>
        <w:adjustRightInd w:val="0"/>
        <w:textAlignment w:val="baseline"/>
      </w:pPr>
      <w:bookmarkStart w:id="9" w:name="_Ref536174896"/>
      <w:r w:rsidRPr="007368C4">
        <w:t>R2-19</w:t>
      </w:r>
      <w:r w:rsidR="007368C4" w:rsidRPr="007368C4">
        <w:t>00608</w:t>
      </w:r>
      <w:r>
        <w:t xml:space="preserve"> </w:t>
      </w:r>
      <w:r w:rsidRPr="00372818">
        <w:rPr>
          <w:i/>
        </w:rPr>
        <w:t>Beam selection and consolidation enhancements</w:t>
      </w:r>
      <w:r>
        <w:t xml:space="preserve"> 3GPP TSG-RAN WG2 Meeting #105 Athens, Greece, 25 Feb – 01 Mar 2019</w:t>
      </w:r>
      <w:bookmarkEnd w:id="9"/>
    </w:p>
    <w:p w14:paraId="055200B7" w14:textId="77777777" w:rsidR="00CD4C7B" w:rsidRDefault="00CD4C7B" w:rsidP="00CD4C7B"/>
    <w:sectPr w:rsid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26044" w14:textId="77777777" w:rsidR="00752222" w:rsidRDefault="00752222">
      <w:r>
        <w:separator/>
      </w:r>
    </w:p>
  </w:endnote>
  <w:endnote w:type="continuationSeparator" w:id="0">
    <w:p w14:paraId="52C08606" w14:textId="77777777" w:rsidR="00752222" w:rsidRDefault="0075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624CC" w14:textId="77777777" w:rsidR="00752222" w:rsidRDefault="00752222">
      <w:r>
        <w:separator/>
      </w:r>
    </w:p>
  </w:footnote>
  <w:footnote w:type="continuationSeparator" w:id="0">
    <w:p w14:paraId="274E1553" w14:textId="77777777" w:rsidR="00752222" w:rsidRDefault="0075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1B"/>
    <w:rsid w:val="00021DD9"/>
    <w:rsid w:val="00033397"/>
    <w:rsid w:val="00033CC7"/>
    <w:rsid w:val="00040095"/>
    <w:rsid w:val="00054FC9"/>
    <w:rsid w:val="00061518"/>
    <w:rsid w:val="00063C02"/>
    <w:rsid w:val="00080512"/>
    <w:rsid w:val="00090468"/>
    <w:rsid w:val="000B7BCF"/>
    <w:rsid w:val="000C008C"/>
    <w:rsid w:val="000C522B"/>
    <w:rsid w:val="000D58AB"/>
    <w:rsid w:val="001109C8"/>
    <w:rsid w:val="00112F1A"/>
    <w:rsid w:val="00116974"/>
    <w:rsid w:val="00134ADC"/>
    <w:rsid w:val="00145075"/>
    <w:rsid w:val="001639B5"/>
    <w:rsid w:val="00171701"/>
    <w:rsid w:val="001741A0"/>
    <w:rsid w:val="00175FA0"/>
    <w:rsid w:val="00194CD0"/>
    <w:rsid w:val="001A7D54"/>
    <w:rsid w:val="001B42C7"/>
    <w:rsid w:val="001B49C9"/>
    <w:rsid w:val="001C4F79"/>
    <w:rsid w:val="001E628C"/>
    <w:rsid w:val="001F168B"/>
    <w:rsid w:val="001F7831"/>
    <w:rsid w:val="00204045"/>
    <w:rsid w:val="0020606E"/>
    <w:rsid w:val="0020712B"/>
    <w:rsid w:val="0022606D"/>
    <w:rsid w:val="00231728"/>
    <w:rsid w:val="00231804"/>
    <w:rsid w:val="002377A0"/>
    <w:rsid w:val="002610D8"/>
    <w:rsid w:val="00273840"/>
    <w:rsid w:val="002747EC"/>
    <w:rsid w:val="0027752A"/>
    <w:rsid w:val="002855BF"/>
    <w:rsid w:val="00295A09"/>
    <w:rsid w:val="002D1A78"/>
    <w:rsid w:val="002D694C"/>
    <w:rsid w:val="002F0D22"/>
    <w:rsid w:val="003172DC"/>
    <w:rsid w:val="00325AE3"/>
    <w:rsid w:val="00326069"/>
    <w:rsid w:val="0035462D"/>
    <w:rsid w:val="00364B41"/>
    <w:rsid w:val="00372818"/>
    <w:rsid w:val="003912CB"/>
    <w:rsid w:val="003A41EF"/>
    <w:rsid w:val="003A6B2A"/>
    <w:rsid w:val="003B40AD"/>
    <w:rsid w:val="003C1827"/>
    <w:rsid w:val="003C4E37"/>
    <w:rsid w:val="003D38F4"/>
    <w:rsid w:val="003E16BE"/>
    <w:rsid w:val="003F4E28"/>
    <w:rsid w:val="004006E8"/>
    <w:rsid w:val="00401855"/>
    <w:rsid w:val="0043653C"/>
    <w:rsid w:val="00440D46"/>
    <w:rsid w:val="00447C4D"/>
    <w:rsid w:val="00465587"/>
    <w:rsid w:val="00477455"/>
    <w:rsid w:val="004A1F7B"/>
    <w:rsid w:val="004C44D2"/>
    <w:rsid w:val="004D3578"/>
    <w:rsid w:val="004D380D"/>
    <w:rsid w:val="004D3D5C"/>
    <w:rsid w:val="004E213A"/>
    <w:rsid w:val="00500E35"/>
    <w:rsid w:val="00503171"/>
    <w:rsid w:val="00506C28"/>
    <w:rsid w:val="00534DA0"/>
    <w:rsid w:val="00535B46"/>
    <w:rsid w:val="00543E6C"/>
    <w:rsid w:val="0056065F"/>
    <w:rsid w:val="00565087"/>
    <w:rsid w:val="0056573F"/>
    <w:rsid w:val="00582BE3"/>
    <w:rsid w:val="005E17C6"/>
    <w:rsid w:val="00611566"/>
    <w:rsid w:val="00643203"/>
    <w:rsid w:val="00646D99"/>
    <w:rsid w:val="00656910"/>
    <w:rsid w:val="0068281C"/>
    <w:rsid w:val="006C66D8"/>
    <w:rsid w:val="006D1E24"/>
    <w:rsid w:val="006E1417"/>
    <w:rsid w:val="006F6A2C"/>
    <w:rsid w:val="00704730"/>
    <w:rsid w:val="007070A1"/>
    <w:rsid w:val="007071D8"/>
    <w:rsid w:val="00710201"/>
    <w:rsid w:val="007342B5"/>
    <w:rsid w:val="00734A5B"/>
    <w:rsid w:val="007368C4"/>
    <w:rsid w:val="00744E76"/>
    <w:rsid w:val="00745D1D"/>
    <w:rsid w:val="00752222"/>
    <w:rsid w:val="00757D40"/>
    <w:rsid w:val="0076184D"/>
    <w:rsid w:val="0076218A"/>
    <w:rsid w:val="00780A21"/>
    <w:rsid w:val="00781F0F"/>
    <w:rsid w:val="0078727C"/>
    <w:rsid w:val="0079049D"/>
    <w:rsid w:val="00793DC5"/>
    <w:rsid w:val="007B18D8"/>
    <w:rsid w:val="007C095F"/>
    <w:rsid w:val="007C2DD0"/>
    <w:rsid w:val="007F681B"/>
    <w:rsid w:val="008028A4"/>
    <w:rsid w:val="0081037A"/>
    <w:rsid w:val="00813245"/>
    <w:rsid w:val="00815AC2"/>
    <w:rsid w:val="00847327"/>
    <w:rsid w:val="00853B79"/>
    <w:rsid w:val="008768CA"/>
    <w:rsid w:val="00877EF9"/>
    <w:rsid w:val="00880559"/>
    <w:rsid w:val="008867F4"/>
    <w:rsid w:val="008B5306"/>
    <w:rsid w:val="008D2E4D"/>
    <w:rsid w:val="008E2AE4"/>
    <w:rsid w:val="008E396A"/>
    <w:rsid w:val="008F396F"/>
    <w:rsid w:val="0090271F"/>
    <w:rsid w:val="00902DB9"/>
    <w:rsid w:val="0090466A"/>
    <w:rsid w:val="00936071"/>
    <w:rsid w:val="00940212"/>
    <w:rsid w:val="00942EC2"/>
    <w:rsid w:val="009534C2"/>
    <w:rsid w:val="00961B32"/>
    <w:rsid w:val="00962509"/>
    <w:rsid w:val="00967859"/>
    <w:rsid w:val="00970BCB"/>
    <w:rsid w:val="00970DB3"/>
    <w:rsid w:val="00974BB0"/>
    <w:rsid w:val="009763D6"/>
    <w:rsid w:val="009A0AF3"/>
    <w:rsid w:val="009B07CD"/>
    <w:rsid w:val="009C19E9"/>
    <w:rsid w:val="009D74A6"/>
    <w:rsid w:val="009D77B7"/>
    <w:rsid w:val="009F1BE7"/>
    <w:rsid w:val="00A10F02"/>
    <w:rsid w:val="00A163AD"/>
    <w:rsid w:val="00A204CA"/>
    <w:rsid w:val="00A250A7"/>
    <w:rsid w:val="00A53724"/>
    <w:rsid w:val="00A774E5"/>
    <w:rsid w:val="00A82346"/>
    <w:rsid w:val="00A9671C"/>
    <w:rsid w:val="00AA1553"/>
    <w:rsid w:val="00AB79C6"/>
    <w:rsid w:val="00B05380"/>
    <w:rsid w:val="00B05962"/>
    <w:rsid w:val="00B15449"/>
    <w:rsid w:val="00B27303"/>
    <w:rsid w:val="00B47FD1"/>
    <w:rsid w:val="00B516BB"/>
    <w:rsid w:val="00B75D2A"/>
    <w:rsid w:val="00B84DB2"/>
    <w:rsid w:val="00BC2862"/>
    <w:rsid w:val="00BC3555"/>
    <w:rsid w:val="00BE356C"/>
    <w:rsid w:val="00C00C44"/>
    <w:rsid w:val="00C12B51"/>
    <w:rsid w:val="00C16C24"/>
    <w:rsid w:val="00C21E01"/>
    <w:rsid w:val="00C24650"/>
    <w:rsid w:val="00C25465"/>
    <w:rsid w:val="00C33079"/>
    <w:rsid w:val="00C4333C"/>
    <w:rsid w:val="00C61E0E"/>
    <w:rsid w:val="00C83A13"/>
    <w:rsid w:val="00C9068C"/>
    <w:rsid w:val="00C91DE5"/>
    <w:rsid w:val="00C92967"/>
    <w:rsid w:val="00CA2934"/>
    <w:rsid w:val="00CA3D0C"/>
    <w:rsid w:val="00CA654B"/>
    <w:rsid w:val="00CB72B8"/>
    <w:rsid w:val="00CD4C7B"/>
    <w:rsid w:val="00CF1B30"/>
    <w:rsid w:val="00D33BE3"/>
    <w:rsid w:val="00D3792D"/>
    <w:rsid w:val="00D55E47"/>
    <w:rsid w:val="00D62B64"/>
    <w:rsid w:val="00D62E19"/>
    <w:rsid w:val="00D67CD1"/>
    <w:rsid w:val="00D738D6"/>
    <w:rsid w:val="00D80795"/>
    <w:rsid w:val="00D854BE"/>
    <w:rsid w:val="00D87E00"/>
    <w:rsid w:val="00D9134D"/>
    <w:rsid w:val="00D96D11"/>
    <w:rsid w:val="00DA664A"/>
    <w:rsid w:val="00DA7580"/>
    <w:rsid w:val="00DA7A03"/>
    <w:rsid w:val="00DB0DB8"/>
    <w:rsid w:val="00DB1818"/>
    <w:rsid w:val="00DC309B"/>
    <w:rsid w:val="00DC4DA2"/>
    <w:rsid w:val="00E1197A"/>
    <w:rsid w:val="00E32669"/>
    <w:rsid w:val="00E4079B"/>
    <w:rsid w:val="00E46C08"/>
    <w:rsid w:val="00E471CF"/>
    <w:rsid w:val="00E524D9"/>
    <w:rsid w:val="00E62835"/>
    <w:rsid w:val="00E76B0E"/>
    <w:rsid w:val="00E77645"/>
    <w:rsid w:val="00E83697"/>
    <w:rsid w:val="00EA54B7"/>
    <w:rsid w:val="00EC4A25"/>
    <w:rsid w:val="00EE7640"/>
    <w:rsid w:val="00F025A2"/>
    <w:rsid w:val="00F07388"/>
    <w:rsid w:val="00F2026E"/>
    <w:rsid w:val="00F2210A"/>
    <w:rsid w:val="00F37743"/>
    <w:rsid w:val="00F4462B"/>
    <w:rsid w:val="00F458DC"/>
    <w:rsid w:val="00F515F9"/>
    <w:rsid w:val="00F54A3D"/>
    <w:rsid w:val="00F54CB0"/>
    <w:rsid w:val="00F5556A"/>
    <w:rsid w:val="00F653B8"/>
    <w:rsid w:val="00F71B89"/>
    <w:rsid w:val="00F7353C"/>
    <w:rsid w:val="00F76F8F"/>
    <w:rsid w:val="00F815C7"/>
    <w:rsid w:val="00F84ED3"/>
    <w:rsid w:val="00F941DF"/>
    <w:rsid w:val="00FA1266"/>
    <w:rsid w:val="00FA1F60"/>
    <w:rsid w:val="00FA4528"/>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customStyle="1" w:styleId="CommentTextChar">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customStyle="1" w:styleId="CommentSubjectChar">
    <w:name w:val="Comment Subject Char"/>
    <w:basedOn w:val="CommentTextChar"/>
    <w:link w:val="CommentSubject"/>
    <w:rsid w:val="00780A2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2155234">
      <w:bodyDiv w:val="1"/>
      <w:marLeft w:val="0"/>
      <w:marRight w:val="0"/>
      <w:marTop w:val="0"/>
      <w:marBottom w:val="0"/>
      <w:divBdr>
        <w:top w:val="none" w:sz="0" w:space="0" w:color="auto"/>
        <w:left w:val="none" w:sz="0" w:space="0" w:color="auto"/>
        <w:bottom w:val="none" w:sz="0" w:space="0" w:color="auto"/>
        <w:right w:val="none" w:sz="0" w:space="0" w:color="auto"/>
      </w:divBdr>
      <w:divsChild>
        <w:div w:id="1570648059">
          <w:marLeft w:val="0"/>
          <w:marRight w:val="0"/>
          <w:marTop w:val="0"/>
          <w:marBottom w:val="0"/>
          <w:divBdr>
            <w:top w:val="none" w:sz="0" w:space="0" w:color="auto"/>
            <w:left w:val="none" w:sz="0" w:space="0" w:color="auto"/>
            <w:bottom w:val="none" w:sz="0" w:space="0" w:color="auto"/>
            <w:right w:val="none" w:sz="0" w:space="0" w:color="auto"/>
          </w:divBdr>
        </w:div>
      </w:divsChild>
    </w:div>
    <w:div w:id="1992980448">
      <w:bodyDiv w:val="1"/>
      <w:marLeft w:val="0"/>
      <w:marRight w:val="0"/>
      <w:marTop w:val="0"/>
      <w:marBottom w:val="0"/>
      <w:divBdr>
        <w:top w:val="none" w:sz="0" w:space="0" w:color="auto"/>
        <w:left w:val="none" w:sz="0" w:space="0" w:color="auto"/>
        <w:bottom w:val="none" w:sz="0" w:space="0" w:color="auto"/>
        <w:right w:val="none" w:sz="0" w:space="0" w:color="auto"/>
      </w:divBdr>
      <w:divsChild>
        <w:div w:id="1556352444">
          <w:marLeft w:val="0"/>
          <w:marRight w:val="0"/>
          <w:marTop w:val="0"/>
          <w:marBottom w:val="0"/>
          <w:divBdr>
            <w:top w:val="none" w:sz="0" w:space="0" w:color="auto"/>
            <w:left w:val="none" w:sz="0" w:space="0" w:color="auto"/>
            <w:bottom w:val="none" w:sz="0" w:space="0" w:color="auto"/>
            <w:right w:val="none" w:sz="0" w:space="0" w:color="auto"/>
          </w:divBdr>
        </w:div>
        <w:div w:id="1869366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5AIRPNAIUNRU-859666464-4592</_dlc_DocId>
    <_dlc_DocIdUrl xmlns="71c5aaf6-e6ce-465b-b873-5148d2a4c105">
      <Url>https://nokia.sharepoint.com/sites/c5g/e2earch/_layouts/15/DocIdRedir.aspx?ID=5AIRPNAIUNRU-859666464-4592</Url>
      <Description>5AIRPNAIUNRU-859666464-4592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s>
</ds:datastoreItem>
</file>

<file path=customXml/itemProps6.xml><?xml version="1.0" encoding="utf-8"?>
<ds:datastoreItem xmlns:ds="http://schemas.openxmlformats.org/officeDocument/2006/customXml" ds:itemID="{44C79724-584F-4B8B-8846-90F8A0E9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2234</TotalTime>
  <Pages>3</Pages>
  <Words>1362</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29</cp:revision>
  <dcterms:created xsi:type="dcterms:W3CDTF">2019-01-23T07:21:00Z</dcterms:created>
  <dcterms:modified xsi:type="dcterms:W3CDTF">2019-02-13T16:32:00Z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60c26fbb-4b3f-4147-9810-33c2429b2c65</vt:lpwstr>
  </property>
  <property fmtid="{D5CDD505-2E9C-101B-9397-08002B2CF9AE}" pid="4" name="AuthorIds_UIVersion_5120">
    <vt:lpwstr>723</vt:lpwstr>
  </property>
</Properties>
</file>